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E173" w14:textId="77777777" w:rsidR="00D66BD4" w:rsidRDefault="00000000">
      <w:pPr>
        <w:pStyle w:val="Textbody"/>
        <w:snapToGrid w:val="0"/>
        <w:spacing w:after="180" w:line="500" w:lineRule="exact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b/>
          <w:sz w:val="36"/>
          <w:szCs w:val="40"/>
        </w:rPr>
        <w:t>教師進行產業研習或研究</w:t>
      </w:r>
    </w:p>
    <w:p w14:paraId="72ACCC65" w14:textId="77777777" w:rsidR="00D66BD4" w:rsidRDefault="00000000">
      <w:pPr>
        <w:pStyle w:val="Textbody"/>
        <w:snapToGrid w:val="0"/>
        <w:spacing w:after="180" w:line="500" w:lineRule="exact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b/>
          <w:sz w:val="36"/>
          <w:szCs w:val="40"/>
        </w:rPr>
        <w:t>透過產學連結合作育才平</w:t>
      </w:r>
      <w:proofErr w:type="gramStart"/>
      <w:r>
        <w:rPr>
          <w:rFonts w:ascii="標楷體" w:eastAsia="標楷體" w:hAnsi="標楷體"/>
          <w:b/>
          <w:sz w:val="36"/>
          <w:szCs w:val="40"/>
        </w:rPr>
        <w:t>臺</w:t>
      </w:r>
      <w:proofErr w:type="gramEnd"/>
      <w:r>
        <w:rPr>
          <w:rFonts w:ascii="標楷體" w:eastAsia="標楷體" w:hAnsi="標楷體"/>
          <w:b/>
          <w:sz w:val="36"/>
          <w:szCs w:val="40"/>
        </w:rPr>
        <w:t>媒合需求調查表</w:t>
      </w:r>
    </w:p>
    <w:p w14:paraId="6A2A33CD" w14:textId="77777777" w:rsidR="00D66BD4" w:rsidRDefault="00000000">
      <w:pPr>
        <w:pStyle w:val="Textbody"/>
        <w:snapToGrid w:val="0"/>
        <w:spacing w:after="180" w:line="400" w:lineRule="exact"/>
        <w:ind w:left="504" w:hanging="504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一、依據技術及職業教育法第</w:t>
      </w:r>
      <w:r>
        <w:rPr>
          <w:rFonts w:ascii="Times New Roman" w:eastAsia="標楷體" w:hAnsi="Times New Roman"/>
          <w:color w:val="000000"/>
          <w:sz w:val="28"/>
          <w:szCs w:val="28"/>
        </w:rPr>
        <w:t>26</w:t>
      </w:r>
      <w:r>
        <w:rPr>
          <w:rFonts w:ascii="Times New Roman" w:eastAsia="標楷體" w:hAnsi="Times New Roman"/>
          <w:color w:val="000000"/>
          <w:sz w:val="28"/>
          <w:szCs w:val="28"/>
        </w:rPr>
        <w:t>條第</w:t>
      </w:r>
      <w:r>
        <w:rPr>
          <w:rFonts w:ascii="Times New Roman" w:eastAsia="標楷體" w:hAnsi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/>
          <w:color w:val="000000"/>
          <w:sz w:val="28"/>
          <w:szCs w:val="28"/>
        </w:rPr>
        <w:t>項規定：「技職校院專業科目或技術科目教師、專業及技術人員或專業及技術教師，每任教滿六年應至與技職校院合作機構或與任教領域有關之產業，進行至少半年以上與專業或技術有關之研習或研究。」</w:t>
      </w:r>
    </w:p>
    <w:p w14:paraId="70123C13" w14:textId="77777777" w:rsidR="00D66BD4" w:rsidRDefault="00000000">
      <w:pPr>
        <w:pStyle w:val="Textbody"/>
        <w:snapToGrid w:val="0"/>
        <w:spacing w:after="180" w:line="400" w:lineRule="exact"/>
        <w:ind w:left="504" w:hanging="504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二、依據技專校院教師進行產業研習或研究實施辦法規定，學校為推動教師進行產業研習或研究，應設推動委員會，訂定教師進行產業研習或研究之作業規定，並排定教師進行產業研習或研究期程。</w:t>
      </w:r>
    </w:p>
    <w:p w14:paraId="0697A7BB" w14:textId="77777777" w:rsidR="00D66BD4" w:rsidRDefault="00000000">
      <w:pPr>
        <w:pStyle w:val="Textbody"/>
        <w:snapToGrid w:val="0"/>
        <w:spacing w:after="180" w:line="400" w:lineRule="exact"/>
        <w:ind w:left="504" w:hanging="504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三、本部為協助技專校院推動教師進行產業研習或研究，將透過「產學連結合作育才平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」協助媒合，請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將有媒合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需要之教師相關資料填寫於下表；無需求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者免填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。</w:t>
      </w:r>
    </w:p>
    <w:p w14:paraId="030A6A1C" w14:textId="77777777" w:rsidR="00D66BD4" w:rsidRDefault="00000000">
      <w:pPr>
        <w:pStyle w:val="Textbody"/>
        <w:snapToGrid w:val="0"/>
        <w:spacing w:after="180" w:line="400" w:lineRule="exact"/>
        <w:ind w:left="504" w:hanging="504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四、調查表之電子檔請於</w:t>
      </w:r>
      <w:r>
        <w:rPr>
          <w:rFonts w:ascii="Times New Roman" w:eastAsia="標楷體" w:hAnsi="Times New Roman"/>
          <w:color w:val="000000"/>
          <w:sz w:val="28"/>
          <w:szCs w:val="28"/>
        </w:rPr>
        <w:t>115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</w:rPr>
        <w:t>7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</w:rPr>
        <w:t>10</w:t>
      </w:r>
      <w:r>
        <w:rPr>
          <w:rFonts w:ascii="Times New Roman" w:eastAsia="標楷體" w:hAnsi="Times New Roman"/>
          <w:color w:val="000000"/>
          <w:sz w:val="28"/>
          <w:szCs w:val="28"/>
        </w:rPr>
        <w:t>日（星期五）下午</w:t>
      </w:r>
      <w:r>
        <w:rPr>
          <w:rFonts w:ascii="Times New Roman" w:eastAsia="標楷體" w:hAnsi="Times New Roman"/>
          <w:color w:val="000000"/>
          <w:sz w:val="28"/>
          <w:szCs w:val="28"/>
        </w:rPr>
        <w:t>5</w:t>
      </w:r>
      <w:r>
        <w:rPr>
          <w:rFonts w:ascii="Times New Roman" w:eastAsia="標楷體" w:hAnsi="Times New Roman"/>
          <w:color w:val="000000"/>
          <w:sz w:val="28"/>
          <w:szCs w:val="28"/>
        </w:rPr>
        <w:t>時前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免備文逕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傳送予「教師產業研習研究計畫專案辦公室」窗口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（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明志科技大學研究發展處陳姿穎小姐；電子信箱：</w:t>
      </w:r>
      <w:r>
        <w:rPr>
          <w:rFonts w:ascii="Times New Roman" w:eastAsia="標楷體" w:hAnsi="Times New Roman"/>
          <w:color w:val="000000"/>
          <w:sz w:val="28"/>
          <w:szCs w:val="28"/>
        </w:rPr>
        <w:t>ying900@mail.mcut.edu.tw</w:t>
      </w:r>
      <w:r>
        <w:rPr>
          <w:rFonts w:ascii="Times New Roman" w:eastAsia="標楷體" w:hAnsi="Times New Roman"/>
          <w:color w:val="000000"/>
          <w:sz w:val="28"/>
          <w:szCs w:val="28"/>
        </w:rPr>
        <w:t>；聯絡電話：</w:t>
      </w:r>
      <w:r>
        <w:rPr>
          <w:rFonts w:ascii="Times New Roman" w:eastAsia="標楷體" w:hAnsi="Times New Roman"/>
          <w:color w:val="000000"/>
          <w:sz w:val="28"/>
          <w:szCs w:val="28"/>
        </w:rPr>
        <w:t>02-29084566</w:t>
      </w:r>
      <w:r>
        <w:rPr>
          <w:rFonts w:ascii="Times New Roman" w:eastAsia="標楷體" w:hAnsi="Times New Roman"/>
          <w:color w:val="000000"/>
          <w:sz w:val="28"/>
          <w:szCs w:val="28"/>
        </w:rPr>
        <w:t>、</w:t>
      </w:r>
      <w:r>
        <w:rPr>
          <w:rFonts w:ascii="Times New Roman" w:eastAsia="標楷體" w:hAnsi="Times New Roman"/>
          <w:color w:val="000000"/>
          <w:sz w:val="28"/>
          <w:szCs w:val="28"/>
        </w:rPr>
        <w:t>02-29089899</w:t>
      </w:r>
      <w:r>
        <w:rPr>
          <w:rFonts w:ascii="Times New Roman" w:eastAsia="標楷體" w:hAnsi="Times New Roman"/>
          <w:color w:val="000000"/>
          <w:sz w:val="28"/>
          <w:szCs w:val="28"/>
        </w:rPr>
        <w:t>分機</w:t>
      </w:r>
      <w:r>
        <w:rPr>
          <w:rFonts w:ascii="Times New Roman" w:eastAsia="標楷體" w:hAnsi="Times New Roman"/>
          <w:color w:val="000000"/>
          <w:sz w:val="28"/>
          <w:szCs w:val="28"/>
        </w:rPr>
        <w:t>2092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）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，電子郵件主旨請註明「【</w:t>
      </w:r>
      <w:r>
        <w:rPr>
          <w:rFonts w:ascii="Times New Roman" w:eastAsia="標楷體" w:hAnsi="Times New Roman"/>
          <w:color w:val="000000"/>
          <w:sz w:val="28"/>
          <w:szCs w:val="28"/>
        </w:rPr>
        <w:t>○○</w:t>
      </w:r>
      <w:r>
        <w:rPr>
          <w:rFonts w:ascii="Times New Roman" w:eastAsia="標楷體" w:hAnsi="Times New Roman"/>
          <w:color w:val="000000"/>
          <w:sz w:val="28"/>
          <w:szCs w:val="28"/>
        </w:rPr>
        <w:t>學校】教師進行產業研習或研究透過產學連結合作育才平</w:t>
      </w:r>
      <w:proofErr w:type="gramStart"/>
      <w:r>
        <w:rPr>
          <w:rFonts w:ascii="Times New Roman" w:eastAsia="標楷體" w:hAnsi="Times New Roman"/>
          <w:color w:val="000000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color w:val="000000"/>
          <w:sz w:val="28"/>
          <w:szCs w:val="28"/>
        </w:rPr>
        <w:t>媒合需求調查表」。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750"/>
        <w:gridCol w:w="751"/>
        <w:gridCol w:w="1146"/>
        <w:gridCol w:w="1133"/>
        <w:gridCol w:w="908"/>
        <w:gridCol w:w="908"/>
        <w:gridCol w:w="910"/>
        <w:gridCol w:w="540"/>
        <w:gridCol w:w="2660"/>
      </w:tblGrid>
      <w:tr w:rsidR="00D66BD4" w14:paraId="4D98F0C3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557F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D580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系科名稱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201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教師姓名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8EFC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職級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  <w:t>（請填附表</w:t>
            </w:r>
            <w:r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  <w:t>代碼）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2DF8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學歷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  <w:t>（請填附表</w:t>
            </w:r>
            <w:r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  <w:t>代碼）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6607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專長領域</w:t>
            </w:r>
          </w:p>
          <w:p w14:paraId="0FD06D7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  <w:t>（請填附表</w:t>
            </w:r>
            <w:r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  <w:t>代碼）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3F75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任教課目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5D77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希望協助媒合之研習或研究類型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  <w:t>（請填附表</w:t>
            </w:r>
            <w:r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  <w:t>代碼，可複選）</w:t>
            </w:r>
          </w:p>
        </w:tc>
      </w:tr>
      <w:tr w:rsidR="00D66BD4" w14:paraId="5FBAC466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94992" w14:textId="77777777" w:rsidR="00000000" w:rsidRDefault="00000000">
            <w:pPr>
              <w:widowControl/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852FD" w14:textId="77777777" w:rsidR="00000000" w:rsidRDefault="00000000">
            <w:pPr>
              <w:widowControl/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46B96" w14:textId="77777777" w:rsidR="00000000" w:rsidRDefault="00000000">
            <w:pPr>
              <w:widowControl/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00B65" w14:textId="77777777" w:rsidR="00000000" w:rsidRDefault="00000000">
            <w:pPr>
              <w:widowControl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FA7C" w14:textId="77777777" w:rsidR="00000000" w:rsidRDefault="00000000">
            <w:pPr>
              <w:widowControl/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3324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領域</w:t>
            </w: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C8F5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學門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46D6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6C07F" w14:textId="77777777" w:rsidR="00000000" w:rsidRDefault="00000000">
            <w:pPr>
              <w:widowControl/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39011" w14:textId="77777777" w:rsidR="00000000" w:rsidRDefault="00000000">
            <w:pPr>
              <w:widowControl/>
            </w:pPr>
          </w:p>
        </w:tc>
      </w:tr>
      <w:tr w:rsidR="00D66BD4" w14:paraId="4B69D12E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D705F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CB4E4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47A80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C5B18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F4BFC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D916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F1954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B7A92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9D85A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DE012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66BD4" w14:paraId="76D41233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AA5DB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99BBA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7E7E4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7EDF2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027C5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275A7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84D48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96CD2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6778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E1C64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66BD4" w14:paraId="3A0B8021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B21B1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8642F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83398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023DC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CA05E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0E9C7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5308B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3EF48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F6C22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42490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66BD4" w14:paraId="0BD10768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F4754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05D73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DC8E3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08A92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108A3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529F5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7868E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1B44C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EC915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260A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66BD4" w14:paraId="714B91C4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5D5FA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ED6AC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E7242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2057F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9C9D4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0AB0C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ECDD2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A9854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29A58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7F4EA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66BD4" w14:paraId="6CEED95C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40775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F0C11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EA5B0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75603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B7B57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7B909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24E7B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9B812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78041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FFECD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66BD4" w14:paraId="6646F96E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584ED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93E28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25800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6DF2D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C9FC1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9AA39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410E5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8DFE8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2A264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6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CD1BD" w14:textId="77777777" w:rsidR="00D66BD4" w:rsidRDefault="00D66BD4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4BDBCC86" w14:textId="77777777" w:rsidR="00D66BD4" w:rsidRDefault="00000000">
      <w:pPr>
        <w:pStyle w:val="Textbody"/>
        <w:rPr>
          <w:rFonts w:ascii="標楷體" w:eastAsia="標楷體" w:hAnsi="標楷體"/>
        </w:rPr>
        <w:sectPr w:rsidR="00D66BD4">
          <w:footerReference w:type="default" r:id="rId6"/>
          <w:pgSz w:w="11906" w:h="16838"/>
          <w:pgMar w:top="851" w:right="720" w:bottom="720" w:left="720" w:header="720" w:footer="432" w:gutter="0"/>
          <w:cols w:space="720"/>
          <w:docGrid w:type="lines" w:linePitch="600"/>
        </w:sectPr>
      </w:pPr>
      <w:r>
        <w:rPr>
          <w:rFonts w:ascii="標楷體" w:eastAsia="標楷體" w:hAnsi="標楷體"/>
        </w:rPr>
        <w:t>（欄位不足請自行增列）</w:t>
      </w:r>
    </w:p>
    <w:p w14:paraId="4A42092B" w14:textId="77777777" w:rsidR="00D66BD4" w:rsidRDefault="00D66BD4">
      <w:pPr>
        <w:pStyle w:val="Textbody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6355"/>
      </w:tblGrid>
      <w:tr w:rsidR="00D66BD4" w14:paraId="16BA8E45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46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6A45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40"/>
              </w:rPr>
              <w:t>附表</w:t>
            </w:r>
            <w:r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40"/>
              </w:rPr>
              <w:t>1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40"/>
              </w:rPr>
              <w:t>、基本資料代碼對照表</w:t>
            </w:r>
          </w:p>
        </w:tc>
      </w:tr>
      <w:tr w:rsidR="00D66BD4" w14:paraId="706EA9D1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0B48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職級</w:t>
            </w:r>
          </w:p>
        </w:tc>
        <w:tc>
          <w:tcPr>
            <w:tcW w:w="635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B43A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）講師（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）助理教授（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）副教授（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）教授</w:t>
            </w:r>
          </w:p>
        </w:tc>
      </w:tr>
      <w:tr w:rsidR="00D66BD4" w14:paraId="672B5194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1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59C7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學歷</w:t>
            </w:r>
          </w:p>
        </w:tc>
        <w:tc>
          <w:tcPr>
            <w:tcW w:w="6355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FECC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）大專（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）碩士（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）博士</w:t>
            </w:r>
          </w:p>
        </w:tc>
      </w:tr>
      <w:tr w:rsidR="00D66BD4" w14:paraId="4EAC873B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1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578F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希望協助媒合之研習或研究類型</w:t>
            </w:r>
          </w:p>
        </w:tc>
        <w:tc>
          <w:tcPr>
            <w:tcW w:w="6355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DE87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）至合作機構或產業實地服務或研究</w:t>
            </w:r>
          </w:p>
        </w:tc>
      </w:tr>
      <w:tr w:rsidR="00D66BD4" w14:paraId="7DEFE512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CC663" w14:textId="77777777" w:rsidR="00000000" w:rsidRDefault="00000000">
            <w:pPr>
              <w:widowControl/>
            </w:pPr>
          </w:p>
        </w:tc>
        <w:tc>
          <w:tcPr>
            <w:tcW w:w="6355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3A9A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）與合作機構或產業進行產學合作計畫案</w:t>
            </w:r>
          </w:p>
        </w:tc>
      </w:tr>
      <w:tr w:rsidR="00D66BD4" w14:paraId="4FADD220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3E456" w14:textId="77777777" w:rsidR="00000000" w:rsidRDefault="00000000">
            <w:pPr>
              <w:widowControl/>
            </w:pPr>
          </w:p>
        </w:tc>
        <w:tc>
          <w:tcPr>
            <w:tcW w:w="63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BC0B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746" w:hanging="746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）參與學校與合作機構或產業共同規劃辦理之深度實務研習</w:t>
            </w:r>
          </w:p>
        </w:tc>
      </w:tr>
    </w:tbl>
    <w:p w14:paraId="5A62E9B1" w14:textId="77777777" w:rsidR="00D66BD4" w:rsidRDefault="00D66BD4">
      <w:pPr>
        <w:pStyle w:val="Textbody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5"/>
        <w:gridCol w:w="1279"/>
        <w:gridCol w:w="3887"/>
        <w:gridCol w:w="3885"/>
      </w:tblGrid>
      <w:tr w:rsidR="00D66BD4" w14:paraId="29E892BA" w14:textId="77777777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10466" w:type="dxa"/>
            <w:gridSpan w:val="4"/>
            <w:tcBorders>
              <w:bottom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C23D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</w:pPr>
            <w:bookmarkStart w:id="0" w:name="RANGE!A1:D91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40"/>
              </w:rPr>
              <w:t>附表</w:t>
            </w:r>
            <w:r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6"/>
                <w:szCs w:val="40"/>
              </w:rPr>
              <w:t>2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40"/>
              </w:rPr>
              <w:t>、專長領域代碼對照表</w:t>
            </w:r>
            <w:bookmarkEnd w:id="0"/>
          </w:p>
        </w:tc>
      </w:tr>
      <w:tr w:rsidR="00D66BD4" w14:paraId="19A24EFA" w14:textId="77777777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1C14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領域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1E87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學門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EEA6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類別</w:t>
            </w:r>
          </w:p>
        </w:tc>
      </w:tr>
      <w:tr w:rsidR="00D66BD4" w14:paraId="3821976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C881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336" w:hanging="33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.人文及藝術領域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DA7D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.人文學門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C692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臺灣語文學類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BC92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中國語文學類</w:t>
            </w:r>
          </w:p>
        </w:tc>
      </w:tr>
      <w:tr w:rsidR="00D66BD4" w14:paraId="43C79AA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AB610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78DFB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EADE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外國語文學類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32B7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其他語文學類</w:t>
            </w:r>
          </w:p>
        </w:tc>
      </w:tr>
      <w:tr w:rsidR="00D66BD4" w14:paraId="1791D45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4AD0B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F5791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EFD9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翻譯學類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442C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比較文學學類</w:t>
            </w:r>
          </w:p>
        </w:tc>
      </w:tr>
      <w:tr w:rsidR="00D66BD4" w14:paraId="10C0F07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A223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7E9B7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DD28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語言學類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054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宗教學類</w:t>
            </w:r>
          </w:p>
        </w:tc>
      </w:tr>
      <w:tr w:rsidR="00D66BD4" w14:paraId="6C0E339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53116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8F382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285E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歷史學類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7302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人類學學學類</w:t>
            </w:r>
          </w:p>
        </w:tc>
      </w:tr>
      <w:tr w:rsidR="00D66BD4" w14:paraId="2AE6B27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DD3E9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78A5B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3908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哲學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BC80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文獻學學類</w:t>
            </w:r>
          </w:p>
        </w:tc>
      </w:tr>
      <w:tr w:rsidR="00D66BD4" w14:paraId="3CC4566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8DF3C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8EB7F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F33CA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其他人文學類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9F4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7AD6D0E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ACCC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DFD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.設計學門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0B4E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綜合設計學類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9657A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視學傳達設計學類</w:t>
            </w:r>
          </w:p>
        </w:tc>
      </w:tr>
      <w:tr w:rsidR="00D66BD4" w14:paraId="4C31B6C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96173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C3458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0FD5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產品設計學類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2F51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空間設計學類</w:t>
            </w:r>
          </w:p>
        </w:tc>
      </w:tr>
      <w:tr w:rsidR="00D66BD4" w14:paraId="4083637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D729E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2E314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E3B4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其他設計學類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4D17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3E6F4C1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BCBC3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4B12A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.藝術學門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D4A0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美術學類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D1FF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雕塑藝術學類</w:t>
            </w:r>
          </w:p>
        </w:tc>
      </w:tr>
      <w:tr w:rsidR="00D66BD4" w14:paraId="2B74218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6417A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AD796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D6F6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美術工藝學類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7C16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音樂學類</w:t>
            </w:r>
          </w:p>
        </w:tc>
      </w:tr>
      <w:tr w:rsidR="00D66BD4" w14:paraId="5765374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2077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83D76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AB59A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戲劇舞蹈學類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5B7B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視學藝學類</w:t>
            </w:r>
          </w:p>
        </w:tc>
      </w:tr>
      <w:tr w:rsidR="00D66BD4" w14:paraId="487C7C1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766AD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AF5A7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EFCB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綜合藝術學類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7B1A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民俗藝術學類</w:t>
            </w:r>
          </w:p>
        </w:tc>
      </w:tr>
      <w:tr w:rsidR="00D66BD4" w14:paraId="61A9C15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0A065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62513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9105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應用藝術學類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4833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A03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藝術行政學類</w:t>
            </w:r>
          </w:p>
        </w:tc>
      </w:tr>
      <w:tr w:rsidR="00D66BD4" w14:paraId="0B9EAAC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C39C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336" w:hanging="33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.工程、製造及營造領域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20A3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.工程學門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FE32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電資工程學類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97DD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機械工程學類</w:t>
            </w:r>
          </w:p>
        </w:tc>
      </w:tr>
      <w:tr w:rsidR="00D66BD4" w14:paraId="1FFBF76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A7B51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9C943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AEC5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土木工程學類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915F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化學工程學類</w:t>
            </w:r>
          </w:p>
        </w:tc>
      </w:tr>
      <w:tr w:rsidR="00D66BD4" w14:paraId="4FACDEF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E204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184C1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E96AA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材料工程學類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6B43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工業工程學類</w:t>
            </w:r>
          </w:p>
        </w:tc>
      </w:tr>
      <w:tr w:rsidR="00D66BD4" w14:paraId="6E3093A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1EDDD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F0C1B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032F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紡織工程學類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FE85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測量工程學類</w:t>
            </w:r>
          </w:p>
        </w:tc>
      </w:tr>
      <w:tr w:rsidR="00D66BD4" w14:paraId="7CF7652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CCC19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ECCE7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6A0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環境工程學類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B332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河海工程學類</w:t>
            </w:r>
          </w:p>
        </w:tc>
      </w:tr>
      <w:tr w:rsidR="00D66BD4" w14:paraId="10C8EEC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10D52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8CF70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AF4E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生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醫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工程學類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2D7A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核子工程學類</w:t>
            </w:r>
          </w:p>
        </w:tc>
      </w:tr>
      <w:tr w:rsidR="00D66BD4" w14:paraId="0099E19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DF7FB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F12EE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5F78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綜合工程學類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598F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其他工程學類</w:t>
            </w:r>
          </w:p>
        </w:tc>
      </w:tr>
      <w:tr w:rsidR="00D66BD4" w14:paraId="2914425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F6D77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7366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.建築及都市規劃學門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E563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建築學類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F0AF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景觀設計學類</w:t>
            </w:r>
          </w:p>
        </w:tc>
      </w:tr>
      <w:tr w:rsidR="00D66BD4" w14:paraId="2BE5C09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5F60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18FD6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7D3C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都市規劃學類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4DE6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232DBE8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ADF50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5D435" w14:textId="77777777" w:rsidR="00000000" w:rsidRDefault="00000000">
            <w:pPr>
              <w:widowControl/>
            </w:pP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ACE6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B02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其他建築及都市規劃學類</w:t>
            </w:r>
          </w:p>
        </w:tc>
      </w:tr>
      <w:tr w:rsidR="00D66BD4" w14:paraId="5332003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425B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336" w:hanging="33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lastRenderedPageBreak/>
              <w:t>C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.社會科學、商業及法律領域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7353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.法律學門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276F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一般法律學類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AF41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專業法律學類</w:t>
            </w:r>
          </w:p>
        </w:tc>
      </w:tr>
      <w:tr w:rsidR="00D66BD4" w14:paraId="686DEDF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E7E11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72E57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9831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其他法律學類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E29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41657E0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EEE7A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F9EA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.社會及行為科學學門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7435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經濟學類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E468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政治學類</w:t>
            </w:r>
          </w:p>
        </w:tc>
      </w:tr>
      <w:tr w:rsidR="00D66BD4" w14:paraId="7EA354D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13846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8C2D3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6F9F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社會學類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1108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民族學類</w:t>
            </w:r>
          </w:p>
        </w:tc>
      </w:tr>
      <w:tr w:rsidR="00D66BD4" w14:paraId="64F3A79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BC69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7FA6A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E680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心理學類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E01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地理學類</w:t>
            </w:r>
          </w:p>
        </w:tc>
      </w:tr>
      <w:tr w:rsidR="00D66BD4" w14:paraId="4105260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273B9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E6ECE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D8C3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區域研究學類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B00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公共行政學類</w:t>
            </w:r>
          </w:p>
        </w:tc>
      </w:tr>
      <w:tr w:rsidR="00D66BD4" w14:paraId="23C295D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FAFB4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48734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37E4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國際事務學類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03FF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76F19B6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BFC6C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FC3D4" w14:textId="77777777" w:rsidR="00000000" w:rsidRDefault="00000000">
            <w:pPr>
              <w:widowControl/>
            </w:pP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7AF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綜合社會及行為科學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</w:tr>
      <w:tr w:rsidR="00D66BD4" w14:paraId="234ED56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4E564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0EEB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.商業及管理學門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3B87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一般商業學類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8144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會計學類</w:t>
            </w:r>
          </w:p>
        </w:tc>
      </w:tr>
      <w:tr w:rsidR="00D66BD4" w14:paraId="4B092F4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E1362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A6235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6494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企業管理學類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6AB5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貿易學類</w:t>
            </w:r>
          </w:p>
        </w:tc>
      </w:tr>
      <w:tr w:rsidR="00D66BD4" w14:paraId="4CE145E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7B9D8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16165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235F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財務金融學類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BEE4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風險管理學類</w:t>
            </w:r>
          </w:p>
        </w:tc>
      </w:tr>
      <w:tr w:rsidR="00D66BD4" w14:paraId="6B85DB2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39185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29D05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E8C7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財政學類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FFEF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行銷與流通學類</w:t>
            </w:r>
          </w:p>
        </w:tc>
      </w:tr>
      <w:tr w:rsidR="00D66BD4" w14:paraId="4FA56BF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4ECDE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FACA1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E8E3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.　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醫管學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33CE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7D1C48C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B1BED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B13FC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A8FE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其他商業及管理學類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047B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32FE3D1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068C3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FC78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.傳播學門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537F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一般大眾傳播學類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1D17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新聞學類</w:t>
            </w:r>
          </w:p>
        </w:tc>
      </w:tr>
      <w:tr w:rsidR="00D66BD4" w14:paraId="396E4F9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A7A4A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2480B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29BB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廣播電視學類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BE35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公共關係學類</w:t>
            </w:r>
          </w:p>
        </w:tc>
      </w:tr>
      <w:tr w:rsidR="00D66BD4" w14:paraId="1C878E7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F1EE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24A1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0274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博物館學類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FB31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圖書資訊檔案學類</w:t>
            </w:r>
          </w:p>
        </w:tc>
      </w:tr>
      <w:tr w:rsidR="00D66BD4" w14:paraId="40584FF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256B6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53CEA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EAAB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圖文傳播學類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7C97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廣告學類</w:t>
            </w:r>
          </w:p>
        </w:tc>
      </w:tr>
      <w:tr w:rsidR="00D66BD4" w14:paraId="3446B6B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094FE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09B16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A410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C04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其他傳播及資訊學類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E9A6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D66BD4" w14:paraId="77B0D64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D4F9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336" w:hanging="33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.醫藥衛生及社福領域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3596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.社會服務學門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8ABF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身心障礙服務學類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8FDE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老年服務學類</w:t>
            </w:r>
          </w:p>
        </w:tc>
      </w:tr>
      <w:tr w:rsidR="00D66BD4" w14:paraId="5D372D1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9B337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D3932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8027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社會工作學類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2634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兒童保育學類</w:t>
            </w:r>
          </w:p>
        </w:tc>
      </w:tr>
      <w:tr w:rsidR="00D66BD4" w14:paraId="35FA4F5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91808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BB47C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7E11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其他社會服務學類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4479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0DBADE6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2388F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0A72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.醫藥衛生學門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88D6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醫學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4ADC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公共衛生學類</w:t>
            </w:r>
          </w:p>
        </w:tc>
      </w:tr>
      <w:tr w:rsidR="00D66BD4" w14:paraId="280BAAA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37AC6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9D7D9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A521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藥學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CD17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復健醫學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</w:tr>
      <w:tr w:rsidR="00D66BD4" w14:paraId="22D954E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E90E6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9A549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6EAA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營養學類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458A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護理學類</w:t>
            </w:r>
          </w:p>
        </w:tc>
      </w:tr>
      <w:tr w:rsidR="00D66BD4" w14:paraId="28F1EDA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C2800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72CF1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3E21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醫學技術及檢驗學類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512E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牙醫學類</w:t>
            </w:r>
          </w:p>
        </w:tc>
      </w:tr>
      <w:tr w:rsidR="00D66BD4" w14:paraId="0779F76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6BDB6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8E91A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3593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D02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其他醫藥衛生學類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1A95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34505FA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3DB0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336" w:hanging="33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.服務領域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60AB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.民生學門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4BA8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餐旅服務學類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3EC6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觀光休閒學類</w:t>
            </w:r>
          </w:p>
        </w:tc>
      </w:tr>
      <w:tr w:rsidR="00D66BD4" w14:paraId="1E4E739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2E476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34553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785C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競技運動學類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3EA4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運動科技學類</w:t>
            </w:r>
          </w:p>
        </w:tc>
      </w:tr>
      <w:tr w:rsidR="00D66BD4" w14:paraId="13EF39A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62A1F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ACA2A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AA47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1112" w:hanging="1112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運動休閒及休閒管理學類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4690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生活應用科學學類</w:t>
            </w:r>
          </w:p>
        </w:tc>
      </w:tr>
      <w:tr w:rsidR="00D66BD4" w14:paraId="1B1EC35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33692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171C1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5D67A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服飾學類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1C63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美容學類</w:t>
            </w:r>
          </w:p>
        </w:tc>
      </w:tr>
      <w:tr w:rsidR="00D66BD4" w14:paraId="056486D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7B3E6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D3E3F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9B98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其他民生學類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E295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3EB2B66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4805F" w14:textId="77777777" w:rsidR="00000000" w:rsidRDefault="00000000">
            <w:pPr>
              <w:widowControl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DC02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.軍警國防安全學門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1C44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警政學類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3BA6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軍事學類</w:t>
            </w:r>
          </w:p>
        </w:tc>
      </w:tr>
      <w:tr w:rsidR="00D66BD4" w14:paraId="6648D32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C0446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CEB7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.運輸服務學門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2F02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運輸管理學類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2F40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航空學類</w:t>
            </w:r>
          </w:p>
        </w:tc>
      </w:tr>
      <w:tr w:rsidR="00D66BD4" w14:paraId="609FCFE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8C5B3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531A8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EB46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航海學類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B9A0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其他運輸服務學類</w:t>
            </w:r>
          </w:p>
        </w:tc>
      </w:tr>
      <w:tr w:rsidR="00D66BD4" w14:paraId="01F815E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701CB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CA9C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.環境保護學門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A19D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環境資源學類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D880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環境防災學類</w:t>
            </w:r>
          </w:p>
        </w:tc>
      </w:tr>
      <w:tr w:rsidR="00D66BD4" w14:paraId="33A86AB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C78C9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29043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531A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E04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其他環境保護學類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DDEC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04A2AFC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2899A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336" w:hanging="33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.科學領域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5CFB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.生命科學學門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E28C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生物學類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EFB7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生態學類</w:t>
            </w:r>
          </w:p>
        </w:tc>
      </w:tr>
      <w:tr w:rsidR="00D66BD4" w14:paraId="1E9D4AC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EE03A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CF6F9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B897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生物科技學類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69B3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微生物學類</w:t>
            </w:r>
          </w:p>
        </w:tc>
      </w:tr>
      <w:tr w:rsidR="00D66BD4" w14:paraId="428D75C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B4868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57E85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38BC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生物化學學類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56A5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生物訊息學類</w:t>
            </w:r>
          </w:p>
        </w:tc>
      </w:tr>
      <w:tr w:rsidR="00D66BD4" w14:paraId="5D53912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C3BE5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2898C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3930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其他生命科學類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C653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7B56E7E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4320C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0EEF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.自然科學學門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D710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化學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6ACFA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地球科學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</w:tr>
      <w:tr w:rsidR="00D66BD4" w14:paraId="4A35D2F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9211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C72B7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9967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物理學類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E581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大氣科學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</w:tr>
      <w:tr w:rsidR="00D66BD4" w14:paraId="2414E7A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BA740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C0157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C3E3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海洋科學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AEAF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天文及太空科學學類</w:t>
            </w:r>
          </w:p>
        </w:tc>
      </w:tr>
      <w:tr w:rsidR="00D66BD4" w14:paraId="2B3E611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827BE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98CB3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77F5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其他自然科學學類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D6EB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1FC4206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E8E30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1861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.電算機學門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1816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電算機一般學類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E725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網路學類</w:t>
            </w:r>
          </w:p>
        </w:tc>
      </w:tr>
      <w:tr w:rsidR="00D66BD4" w14:paraId="6C5A417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B27B8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F88B3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C001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軟體發展學類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D1E2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系統設計學類</w:t>
            </w:r>
          </w:p>
        </w:tc>
      </w:tr>
      <w:tr w:rsidR="00D66BD4" w14:paraId="776294F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E62C4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FDFA1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308F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電算機應用學類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ADD2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其他電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算機學類</w:t>
            </w:r>
            <w:proofErr w:type="gramEnd"/>
          </w:p>
        </w:tc>
      </w:tr>
      <w:tr w:rsidR="00D66BD4" w14:paraId="019FD75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3D8B" w14:textId="77777777" w:rsidR="00000000" w:rsidRDefault="00000000">
            <w:pPr>
              <w:widowControl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ABC5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.數學及統計學門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8FE7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數學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734C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統計學類</w:t>
            </w:r>
          </w:p>
        </w:tc>
      </w:tr>
      <w:tr w:rsidR="00D66BD4" w14:paraId="3D87FA4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5B8F0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4CB33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13D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F04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其他數學及統計學類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A987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2EFDEF1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84E2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336" w:hanging="33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.教育領域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C07E4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.教育學門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76CC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綜合教育學類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E11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普通科目教育學類</w:t>
            </w:r>
          </w:p>
        </w:tc>
      </w:tr>
      <w:tr w:rsidR="00D66BD4" w14:paraId="543E31B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A1BBF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758CA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5EE2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專業科目教育學類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E7E4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學前教育學類</w:t>
            </w:r>
          </w:p>
        </w:tc>
      </w:tr>
      <w:tr w:rsidR="00D66BD4" w14:paraId="659251C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54856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500CD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CB88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成人教育學類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FD6D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特殊教育學類</w:t>
            </w:r>
          </w:p>
        </w:tc>
      </w:tr>
      <w:tr w:rsidR="00D66BD4" w14:paraId="5ECE1CE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8C877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F5067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C4AB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教育行政學類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B63B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教育科技學類</w:t>
            </w:r>
          </w:p>
        </w:tc>
      </w:tr>
      <w:tr w:rsidR="00D66BD4" w14:paraId="421DD2B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7C28E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8600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45B4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G01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教育測驗評量學類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DC1B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053BC1F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A7228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336" w:hanging="33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.農學領域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A25A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.農業科學學門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419B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一般農業學類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B605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畜牧學類</w:t>
            </w:r>
          </w:p>
        </w:tc>
      </w:tr>
      <w:tr w:rsidR="00D66BD4" w14:paraId="3AB6636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40AC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9E591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8D8C5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園藝學類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0E963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植物保護學類</w:t>
            </w:r>
          </w:p>
        </w:tc>
      </w:tr>
      <w:tr w:rsidR="00D66BD4" w14:paraId="39CB2ED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0BB4B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E14B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8EB29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農業經濟及推廣學類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290D6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食品科學類</w:t>
            </w:r>
          </w:p>
        </w:tc>
      </w:tr>
      <w:tr w:rsidR="00D66BD4" w14:paraId="5EA11BD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0EAC9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C0473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38B0B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水土保持學類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9E19C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農業化學類</w:t>
            </w:r>
          </w:p>
        </w:tc>
      </w:tr>
      <w:tr w:rsidR="00D66BD4" w14:paraId="55EC0EE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64F89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636B4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D5B8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農業技術學類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C1B9D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林業學類</w:t>
            </w:r>
          </w:p>
        </w:tc>
      </w:tr>
      <w:tr w:rsidR="00D66BD4" w14:paraId="56A9C88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4AEF3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883DC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751C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漁業學類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85A37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其他農林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漁牧學類</w:t>
            </w:r>
            <w:proofErr w:type="gramEnd"/>
          </w:p>
        </w:tc>
      </w:tr>
      <w:tr w:rsidR="00D66BD4" w14:paraId="78B3930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F7129" w14:textId="77777777" w:rsidR="00000000" w:rsidRDefault="00000000">
            <w:pPr>
              <w:widowControl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5049E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.獸醫學門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EE942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H02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獸醫學類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743E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66BD4" w14:paraId="38C7FC2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B9B2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336" w:hanging="33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I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.其他領域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B0DF0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ind w:left="616" w:hanging="616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I01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.其他學門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29EE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I01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其他不能歸類之各學類</w:t>
            </w:r>
          </w:p>
        </w:tc>
      </w:tr>
      <w:tr w:rsidR="00D66BD4" w14:paraId="492F081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07EDD" w14:textId="77777777" w:rsidR="00000000" w:rsidRDefault="00000000">
            <w:pPr>
              <w:widowControl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FCE4F" w14:textId="77777777" w:rsidR="00000000" w:rsidRDefault="00000000">
            <w:pPr>
              <w:widowControl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A876F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I01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新細明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.　其他教師代碼</w:t>
            </w:r>
          </w:p>
        </w:tc>
        <w:tc>
          <w:tcPr>
            <w:tcW w:w="3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AAC41" w14:textId="77777777" w:rsidR="00D66BD4" w:rsidRDefault="00000000">
            <w:pPr>
              <w:pStyle w:val="Textbody"/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2C552E79" w14:textId="77777777" w:rsidR="00D66BD4" w:rsidRDefault="00D66BD4">
      <w:pPr>
        <w:pStyle w:val="Textbody"/>
      </w:pPr>
    </w:p>
    <w:sectPr w:rsidR="00D66BD4">
      <w:footerReference w:type="default" r:id="rId7"/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37A74" w14:textId="77777777" w:rsidR="00CB519B" w:rsidRDefault="00CB519B">
      <w:r>
        <w:separator/>
      </w:r>
    </w:p>
  </w:endnote>
  <w:endnote w:type="continuationSeparator" w:id="0">
    <w:p w14:paraId="600D391D" w14:textId="77777777" w:rsidR="00CB519B" w:rsidRDefault="00CB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B6E4" w14:textId="77777777" w:rsidR="00000000" w:rsidRDefault="00000000">
    <w:pPr>
      <w:pStyle w:val="a5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3CCB" w14:textId="77777777" w:rsidR="00000000" w:rsidRDefault="00000000">
    <w:pPr>
      <w:pStyle w:val="a5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4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18A7" w14:textId="77777777" w:rsidR="00CB519B" w:rsidRDefault="00CB519B">
      <w:r>
        <w:rPr>
          <w:color w:val="000000"/>
        </w:rPr>
        <w:separator/>
      </w:r>
    </w:p>
  </w:footnote>
  <w:footnote w:type="continuationSeparator" w:id="0">
    <w:p w14:paraId="2523DD46" w14:textId="77777777" w:rsidR="00CB519B" w:rsidRDefault="00CB5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6BD4"/>
    <w:rsid w:val="00462767"/>
    <w:rsid w:val="00CB519B"/>
    <w:rsid w:val="00CC0469"/>
    <w:rsid w:val="00D6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F289"/>
  <w15:docId w15:val="{C1AEDF8C-4C53-4EB5-BEFE-9937F945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AA8262</dc:creator>
  <dc:description/>
  <cp:lastModifiedBy>admin</cp:lastModifiedBy>
  <cp:revision>2</cp:revision>
  <cp:lastPrinted>2025-07-09T03:45:00Z</cp:lastPrinted>
  <dcterms:created xsi:type="dcterms:W3CDTF">2026-07-01T08:06:00Z</dcterms:created>
  <dcterms:modified xsi:type="dcterms:W3CDTF">2026-07-01T08:06:00Z</dcterms:modified>
</cp:coreProperties>
</file>